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19F19" w14:textId="1E48B7B3" w:rsidR="00DD6E3B" w:rsidRPr="00DD6E3B" w:rsidRDefault="00DD6E3B" w:rsidP="00DD6E3B">
      <w:pPr>
        <w:spacing w:after="225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6E3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Définition des paramètres et attributs qualité critiques dans le cadre d’une validation de procédé de fabrication </w:t>
      </w:r>
    </w:p>
    <w:p w14:paraId="58412CDD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57630F9F" w14:textId="77777777" w:rsidR="00DD6E3B" w:rsidRPr="00DD6E3B" w:rsidRDefault="00DD6E3B" w:rsidP="00DD6E3B">
      <w:pPr>
        <w:numPr>
          <w:ilvl w:val="0"/>
          <w:numId w:val="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0E5B31D6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5B93A7DF" w14:textId="77777777" w:rsidR="00DD6E3B" w:rsidRPr="00DD6E3B" w:rsidRDefault="00DD6E3B" w:rsidP="00DD6E3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000000"/>
          <w:sz w:val="21"/>
          <w:szCs w:val="21"/>
          <w:lang w:eastAsia="fr-FR"/>
        </w:rPr>
        <w:t>Comprendre la différence entre Attributs Critiques de Qualité (CQA) et Paramètres Critiques de Procédé (CPP),</w:t>
      </w:r>
    </w:p>
    <w:p w14:paraId="4A9BFAA4" w14:textId="77777777" w:rsidR="00DD6E3B" w:rsidRPr="00DD6E3B" w:rsidRDefault="00DD6E3B" w:rsidP="00DD6E3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000000"/>
          <w:sz w:val="21"/>
          <w:szCs w:val="21"/>
          <w:lang w:eastAsia="fr-FR"/>
        </w:rPr>
        <w:t>Apprendre à identifier les CQA et CPP dans le cadre de la validation des procédés,</w:t>
      </w:r>
    </w:p>
    <w:p w14:paraId="5CEB3D3E" w14:textId="77777777" w:rsidR="00DD6E3B" w:rsidRPr="00DD6E3B" w:rsidRDefault="00DD6E3B" w:rsidP="00DD6E3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000000"/>
          <w:sz w:val="21"/>
          <w:szCs w:val="21"/>
          <w:lang w:eastAsia="fr-FR"/>
        </w:rPr>
        <w:t>Maîtriser les outils et méthodologies pour définir ces paramètres et assurer un procédé sous contrôle,</w:t>
      </w:r>
    </w:p>
    <w:p w14:paraId="4799614B" w14:textId="77777777" w:rsidR="00DD6E3B" w:rsidRPr="00DD6E3B" w:rsidRDefault="00DD6E3B" w:rsidP="00DD6E3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000000"/>
          <w:sz w:val="21"/>
          <w:szCs w:val="21"/>
          <w:lang w:eastAsia="fr-FR"/>
        </w:rPr>
        <w:t>Apprendre à établir des limites d'acceptation fondées sur des données concrètes pour les CQA,</w:t>
      </w:r>
    </w:p>
    <w:p w14:paraId="6236580E" w14:textId="77777777" w:rsidR="00DD6E3B" w:rsidRPr="00DD6E3B" w:rsidRDefault="00DD6E3B" w:rsidP="00DD6E3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000000"/>
          <w:sz w:val="21"/>
          <w:szCs w:val="21"/>
          <w:lang w:eastAsia="fr-FR"/>
        </w:rPr>
        <w:t>Savoir justifier les tolérances des CPP.</w:t>
      </w:r>
    </w:p>
    <w:p w14:paraId="59DCFACF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0D8EBC5B" w14:textId="77777777" w:rsidR="00DD6E3B" w:rsidRPr="00DD6E3B" w:rsidRDefault="00DD6E3B" w:rsidP="00DD6E3B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Il est recommandé d’avoir des connaissances de base sur les BPF.</w:t>
      </w:r>
    </w:p>
    <w:p w14:paraId="37DCAAC7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27906538" w14:textId="77777777" w:rsidR="00DD6E3B" w:rsidRPr="00DD6E3B" w:rsidRDefault="00DD6E3B" w:rsidP="00DD6E3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6987CF69" w14:textId="77777777" w:rsidR="00DD6E3B" w:rsidRPr="00DD6E3B" w:rsidRDefault="00DD6E3B" w:rsidP="00DD6E3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1A2CE695" w14:textId="77777777" w:rsidR="00DD6E3B" w:rsidRPr="00DD6E3B" w:rsidRDefault="00DD6E3B" w:rsidP="00DD6E3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4796AA23" w14:textId="77777777" w:rsidR="00DD6E3B" w:rsidRPr="00DD6E3B" w:rsidRDefault="00DD6E3B" w:rsidP="00DD6E3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proofErr w:type="spellStart"/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</w:t>
      </w:r>
      <w:proofErr w:type="spellEnd"/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du support de formation,</w:t>
      </w:r>
    </w:p>
    <w:p w14:paraId="7A09C98B" w14:textId="77777777" w:rsidR="00DD6E3B" w:rsidRPr="00DD6E3B" w:rsidRDefault="00DD6E3B" w:rsidP="00DD6E3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PDF.</w:t>
      </w:r>
    </w:p>
    <w:p w14:paraId="6485C89D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7B6E1742" w14:textId="77777777" w:rsidR="00DD6E3B" w:rsidRPr="00DD6E3B" w:rsidRDefault="00DD6E3B" w:rsidP="00DD6E3B">
      <w:pPr>
        <w:numPr>
          <w:ilvl w:val="0"/>
          <w:numId w:val="1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impliquée dans un projet de validation de procédé.</w:t>
      </w:r>
    </w:p>
    <w:p w14:paraId="497F3237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2FB64FE8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Open Sans"/>
          <w:b/>
          <w:bCs/>
          <w:color w:val="1393D8"/>
          <w:sz w:val="21"/>
          <w:szCs w:val="21"/>
          <w:lang w:eastAsia="fr-FR"/>
        </w:rPr>
        <w:t>Concepts des Attributs Critiques de Qualité (CQA) CQA et des Paramètres Critiques de Procédé (CPP)</w:t>
      </w:r>
    </w:p>
    <w:p w14:paraId="00244EA7" w14:textId="77777777" w:rsidR="00DD6E3B" w:rsidRPr="00DD6E3B" w:rsidRDefault="00DD6E3B" w:rsidP="00DD6E3B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Définitions clés,</w:t>
      </w:r>
    </w:p>
    <w:p w14:paraId="0BEA0834" w14:textId="77777777" w:rsidR="00DD6E3B" w:rsidRPr="00DD6E3B" w:rsidRDefault="00DD6E3B" w:rsidP="00DD6E3B">
      <w:pPr>
        <w:numPr>
          <w:ilvl w:val="0"/>
          <w:numId w:val="1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Rôle des CQA et CPP dans la validation des procédés.</w:t>
      </w:r>
    </w:p>
    <w:p w14:paraId="2C497AD3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Open Sans"/>
          <w:b/>
          <w:bCs/>
          <w:color w:val="1393D8"/>
          <w:sz w:val="21"/>
          <w:szCs w:val="21"/>
          <w:lang w:eastAsia="fr-FR"/>
        </w:rPr>
        <w:t>Identification CQA et des CCP</w:t>
      </w:r>
    </w:p>
    <w:p w14:paraId="19F9C0E5" w14:textId="77777777" w:rsidR="00DD6E3B" w:rsidRPr="00DD6E3B" w:rsidRDefault="00DD6E3B" w:rsidP="00DD6E3B">
      <w:pPr>
        <w:numPr>
          <w:ilvl w:val="0"/>
          <w:numId w:val="1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Caractéristiques essentielles des CQA et des CPP,</w:t>
      </w:r>
    </w:p>
    <w:p w14:paraId="1D69CA07" w14:textId="77777777" w:rsidR="00DD6E3B" w:rsidRPr="00DD6E3B" w:rsidRDefault="00DD6E3B" w:rsidP="00DD6E3B">
      <w:pPr>
        <w:numPr>
          <w:ilvl w:val="0"/>
          <w:numId w:val="1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Outils d’identification,</w:t>
      </w:r>
    </w:p>
    <w:p w14:paraId="7E782C8B" w14:textId="77777777" w:rsidR="00DD6E3B" w:rsidRPr="00DD6E3B" w:rsidRDefault="00DD6E3B" w:rsidP="00DD6E3B">
      <w:pPr>
        <w:numPr>
          <w:ilvl w:val="0"/>
          <w:numId w:val="1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Comment les IPC peuvent aider à surveiller et ajuster les CPP pour garantir la stabilité et la conformité du procédé ?</w:t>
      </w:r>
    </w:p>
    <w:p w14:paraId="6351C951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Open Sans"/>
          <w:b/>
          <w:bCs/>
          <w:color w:val="1393D8"/>
          <w:sz w:val="21"/>
          <w:szCs w:val="21"/>
          <w:lang w:eastAsia="fr-FR"/>
        </w:rPr>
        <w:t>Établissement des critères d’acceptation pour les CQA et les CPP</w:t>
      </w:r>
    </w:p>
    <w:p w14:paraId="53A5118D" w14:textId="77777777" w:rsidR="00DD6E3B" w:rsidRPr="00DD6E3B" w:rsidRDefault="00DD6E3B" w:rsidP="00DD6E3B">
      <w:pPr>
        <w:numPr>
          <w:ilvl w:val="0"/>
          <w:numId w:val="1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Principes pour l'établissement des limites d'acceptation : normes réglementaires et pharmacopées, analyse historique des lots…</w:t>
      </w:r>
    </w:p>
    <w:p w14:paraId="7E9F21FD" w14:textId="77777777" w:rsidR="00DD6E3B" w:rsidRPr="00DD6E3B" w:rsidRDefault="00DD6E3B" w:rsidP="00DD6E3B">
      <w:pPr>
        <w:numPr>
          <w:ilvl w:val="0"/>
          <w:numId w:val="1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Outils statistiques pour définir les limites d'acceptation des CQA,</w:t>
      </w:r>
    </w:p>
    <w:p w14:paraId="39E7E9F6" w14:textId="77777777" w:rsidR="00DD6E3B" w:rsidRPr="00DD6E3B" w:rsidRDefault="00DD6E3B" w:rsidP="00DD6E3B">
      <w:pPr>
        <w:numPr>
          <w:ilvl w:val="0"/>
          <w:numId w:val="1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Justification des tolérances pour les CPP.</w:t>
      </w:r>
    </w:p>
    <w:p w14:paraId="1107505F" w14:textId="77777777" w:rsidR="00DD6E3B" w:rsidRPr="00DD6E3B" w:rsidRDefault="00DD6E3B" w:rsidP="00DD6E3B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DD6E3B">
        <w:rPr>
          <w:rFonts w:ascii="HelveticaNeueLT Pro 35 Th" w:eastAsia="Times New Roman" w:hAnsi="HelveticaNeueLT Pro 35 Th" w:cs="Open Sans"/>
          <w:b/>
          <w:bCs/>
          <w:color w:val="1393D8"/>
          <w:sz w:val="21"/>
          <w:szCs w:val="21"/>
          <w:lang w:eastAsia="fr-FR"/>
        </w:rPr>
        <w:t>Études de cas</w:t>
      </w:r>
    </w:p>
    <w:p w14:paraId="60A3035C" w14:textId="77777777" w:rsidR="00DD6E3B" w:rsidRPr="00DD6E3B" w:rsidRDefault="00DD6E3B" w:rsidP="00DD6E3B">
      <w:pPr>
        <w:numPr>
          <w:ilvl w:val="0"/>
          <w:numId w:val="1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DD6E3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Identifier les paramètres et attributs qualité critiques dans le cadre d’une validation de procédé de fabrication.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C9D7A" w14:textId="77777777" w:rsidR="000D65C2" w:rsidRDefault="000D65C2" w:rsidP="00C80EBD">
      <w:pPr>
        <w:spacing w:after="0" w:line="240" w:lineRule="auto"/>
      </w:pPr>
      <w:r>
        <w:separator/>
      </w:r>
    </w:p>
  </w:endnote>
  <w:endnote w:type="continuationSeparator" w:id="0">
    <w:p w14:paraId="725299B4" w14:textId="77777777" w:rsidR="000D65C2" w:rsidRDefault="000D65C2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60732" w14:textId="77777777" w:rsidR="000D65C2" w:rsidRDefault="000D65C2" w:rsidP="00C80EBD">
      <w:pPr>
        <w:spacing w:after="0" w:line="240" w:lineRule="auto"/>
      </w:pPr>
      <w:r>
        <w:separator/>
      </w:r>
    </w:p>
  </w:footnote>
  <w:footnote w:type="continuationSeparator" w:id="0">
    <w:p w14:paraId="3F533B23" w14:textId="77777777" w:rsidR="000D65C2" w:rsidRDefault="000D65C2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E6CA7"/>
    <w:multiLevelType w:val="multilevel"/>
    <w:tmpl w:val="4576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95026"/>
    <w:multiLevelType w:val="multilevel"/>
    <w:tmpl w:val="1E1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D03AE"/>
    <w:multiLevelType w:val="multilevel"/>
    <w:tmpl w:val="9E2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05400"/>
    <w:multiLevelType w:val="multilevel"/>
    <w:tmpl w:val="769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B1638"/>
    <w:multiLevelType w:val="multilevel"/>
    <w:tmpl w:val="307E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F49B2"/>
    <w:multiLevelType w:val="multilevel"/>
    <w:tmpl w:val="DB0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92E48"/>
    <w:multiLevelType w:val="multilevel"/>
    <w:tmpl w:val="838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04F31"/>
    <w:multiLevelType w:val="multilevel"/>
    <w:tmpl w:val="B534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A5C96"/>
    <w:multiLevelType w:val="multilevel"/>
    <w:tmpl w:val="410C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83B21"/>
    <w:multiLevelType w:val="multilevel"/>
    <w:tmpl w:val="33F0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D3E94"/>
    <w:multiLevelType w:val="multilevel"/>
    <w:tmpl w:val="DAE4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D4339"/>
    <w:multiLevelType w:val="multilevel"/>
    <w:tmpl w:val="4720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80003"/>
    <w:multiLevelType w:val="multilevel"/>
    <w:tmpl w:val="3EC8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30DE7"/>
    <w:multiLevelType w:val="multilevel"/>
    <w:tmpl w:val="1F2C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963800">
    <w:abstractNumId w:val="11"/>
  </w:num>
  <w:num w:numId="2" w16cid:durableId="1647590859">
    <w:abstractNumId w:val="7"/>
  </w:num>
  <w:num w:numId="3" w16cid:durableId="35198674">
    <w:abstractNumId w:val="12"/>
  </w:num>
  <w:num w:numId="4" w16cid:durableId="517620493">
    <w:abstractNumId w:val="3"/>
  </w:num>
  <w:num w:numId="5" w16cid:durableId="329872030">
    <w:abstractNumId w:val="8"/>
  </w:num>
  <w:num w:numId="6" w16cid:durableId="687104244">
    <w:abstractNumId w:val="6"/>
  </w:num>
  <w:num w:numId="7" w16cid:durableId="1771318858">
    <w:abstractNumId w:val="9"/>
  </w:num>
  <w:num w:numId="8" w16cid:durableId="171453139">
    <w:abstractNumId w:val="2"/>
  </w:num>
  <w:num w:numId="9" w16cid:durableId="890531489">
    <w:abstractNumId w:val="0"/>
  </w:num>
  <w:num w:numId="10" w16cid:durableId="1087534674">
    <w:abstractNumId w:val="5"/>
  </w:num>
  <w:num w:numId="11" w16cid:durableId="823669089">
    <w:abstractNumId w:val="13"/>
  </w:num>
  <w:num w:numId="12" w16cid:durableId="639044668">
    <w:abstractNumId w:val="4"/>
  </w:num>
  <w:num w:numId="13" w16cid:durableId="1642149106">
    <w:abstractNumId w:val="1"/>
  </w:num>
  <w:num w:numId="14" w16cid:durableId="210911055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20474"/>
    <w:rsid w:val="00042DE3"/>
    <w:rsid w:val="00043018"/>
    <w:rsid w:val="000677A0"/>
    <w:rsid w:val="00097E22"/>
    <w:rsid w:val="000D2F5A"/>
    <w:rsid w:val="000D65C2"/>
    <w:rsid w:val="0010070D"/>
    <w:rsid w:val="00101AFF"/>
    <w:rsid w:val="00116B6E"/>
    <w:rsid w:val="00121C72"/>
    <w:rsid w:val="001264F7"/>
    <w:rsid w:val="001313D9"/>
    <w:rsid w:val="00140767"/>
    <w:rsid w:val="00171187"/>
    <w:rsid w:val="001A1D43"/>
    <w:rsid w:val="001F3ACC"/>
    <w:rsid w:val="001F7766"/>
    <w:rsid w:val="00206C5C"/>
    <w:rsid w:val="002230B7"/>
    <w:rsid w:val="002245FD"/>
    <w:rsid w:val="00254851"/>
    <w:rsid w:val="00257EC6"/>
    <w:rsid w:val="002B1DA1"/>
    <w:rsid w:val="003237E3"/>
    <w:rsid w:val="00334C16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941EE"/>
    <w:rsid w:val="005A332D"/>
    <w:rsid w:val="005C7AAE"/>
    <w:rsid w:val="006A7189"/>
    <w:rsid w:val="006B3D2B"/>
    <w:rsid w:val="006C4197"/>
    <w:rsid w:val="006D4D91"/>
    <w:rsid w:val="006D5015"/>
    <w:rsid w:val="006D7F8D"/>
    <w:rsid w:val="006E06CD"/>
    <w:rsid w:val="006E7D60"/>
    <w:rsid w:val="006F1426"/>
    <w:rsid w:val="00712185"/>
    <w:rsid w:val="0072262E"/>
    <w:rsid w:val="007427AC"/>
    <w:rsid w:val="00747D94"/>
    <w:rsid w:val="007878ED"/>
    <w:rsid w:val="007B0FD2"/>
    <w:rsid w:val="007D464A"/>
    <w:rsid w:val="007E1A16"/>
    <w:rsid w:val="007E33A8"/>
    <w:rsid w:val="007F15CE"/>
    <w:rsid w:val="00807168"/>
    <w:rsid w:val="00807CD9"/>
    <w:rsid w:val="00844D55"/>
    <w:rsid w:val="008622BF"/>
    <w:rsid w:val="0088068D"/>
    <w:rsid w:val="008942CE"/>
    <w:rsid w:val="008B2E4C"/>
    <w:rsid w:val="008C48B5"/>
    <w:rsid w:val="008D1330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A63FAD"/>
    <w:rsid w:val="00B50279"/>
    <w:rsid w:val="00B507B6"/>
    <w:rsid w:val="00BA43FA"/>
    <w:rsid w:val="00C2378C"/>
    <w:rsid w:val="00C35E4E"/>
    <w:rsid w:val="00C50071"/>
    <w:rsid w:val="00C53D72"/>
    <w:rsid w:val="00C65CF7"/>
    <w:rsid w:val="00C80EBD"/>
    <w:rsid w:val="00C87CAE"/>
    <w:rsid w:val="00C9065C"/>
    <w:rsid w:val="00C9734E"/>
    <w:rsid w:val="00CF31E6"/>
    <w:rsid w:val="00D126D8"/>
    <w:rsid w:val="00D4263E"/>
    <w:rsid w:val="00D44F31"/>
    <w:rsid w:val="00D45CDF"/>
    <w:rsid w:val="00D568C1"/>
    <w:rsid w:val="00D76DA9"/>
    <w:rsid w:val="00D854CA"/>
    <w:rsid w:val="00DD6E3B"/>
    <w:rsid w:val="00E04BE1"/>
    <w:rsid w:val="00E05A56"/>
    <w:rsid w:val="00E43D13"/>
    <w:rsid w:val="00EC65CE"/>
    <w:rsid w:val="00EE782A"/>
    <w:rsid w:val="00F11968"/>
    <w:rsid w:val="00F25D36"/>
    <w:rsid w:val="00F37142"/>
    <w:rsid w:val="00F62CCA"/>
    <w:rsid w:val="00F67181"/>
    <w:rsid w:val="00F74BF6"/>
    <w:rsid w:val="00FB05D3"/>
    <w:rsid w:val="00FD7152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472">
          <w:marLeft w:val="-855"/>
          <w:marRight w:val="0"/>
          <w:marTop w:val="16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637">
          <w:marLeft w:val="-855"/>
          <w:marRight w:val="0"/>
          <w:marTop w:val="12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258">
          <w:marLeft w:val="-855"/>
          <w:marRight w:val="0"/>
          <w:marTop w:val="18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914">
          <w:marLeft w:val="-855"/>
          <w:marRight w:val="0"/>
          <w:marTop w:val="13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1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051">
          <w:marLeft w:val="-855"/>
          <w:marRight w:val="0"/>
          <w:marTop w:val="15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584">
          <w:marLeft w:val="-855"/>
          <w:marRight w:val="0"/>
          <w:marTop w:val="19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5157">
          <w:marLeft w:val="-855"/>
          <w:marRight w:val="0"/>
          <w:marTop w:val="18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0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5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0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5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289">
          <w:marLeft w:val="-855"/>
          <w:marRight w:val="0"/>
          <w:marTop w:val="18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7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289">
          <w:marLeft w:val="-855"/>
          <w:marRight w:val="0"/>
          <w:marTop w:val="170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61</cp:revision>
  <dcterms:created xsi:type="dcterms:W3CDTF">2021-01-31T12:10:00Z</dcterms:created>
  <dcterms:modified xsi:type="dcterms:W3CDTF">2025-11-03T18:47:00Z</dcterms:modified>
</cp:coreProperties>
</file>